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both"/>
        <w:rPr>
          <w:rFonts w:ascii="Tahoma" w:cs="Tahoma" w:eastAsia="Tahoma" w:hAnsi="Tahoma"/>
          <w:color w:val="333399"/>
          <w:sz w:val="28"/>
          <w:szCs w:val="28"/>
        </w:rPr>
      </w:pPr>
      <w:r w:rsidDel="00000000" w:rsidR="00000000" w:rsidRPr="00000000">
        <w:rPr>
          <w:rFonts w:ascii="Tahoma" w:cs="Tahoma" w:eastAsia="Tahoma" w:hAnsi="Tahoma"/>
          <w:color w:val="333399"/>
          <w:sz w:val="28"/>
          <w:szCs w:val="28"/>
          <w:rtl w:val="0"/>
        </w:rPr>
        <w:t xml:space="preserve">Акционерное Общество</w:t>
      </w:r>
      <w:r w:rsidDel="00000000" w:rsidR="00000000" w:rsidRPr="00000000">
        <w:drawing>
          <wp:anchor allowOverlap="1" behindDoc="0" distB="0" distT="0" distL="114300" distR="114300" hidden="0" layoutInCell="1" locked="0" relativeHeight="0" simplePos="0">
            <wp:simplePos x="0" y="0"/>
            <wp:positionH relativeFrom="column">
              <wp:posOffset>-625473</wp:posOffset>
            </wp:positionH>
            <wp:positionV relativeFrom="paragraph">
              <wp:posOffset>-76198</wp:posOffset>
            </wp:positionV>
            <wp:extent cx="1467485" cy="1174750"/>
            <wp:effectExtent b="0" l="0" r="0" t="0"/>
            <wp:wrapSquare wrapText="bothSides" distB="0" distT="0" distL="114300" distR="114300"/>
            <wp:docPr descr="РУССКИЙ" id="1" name="image1.png"/>
            <a:graphic>
              <a:graphicData uri="http://schemas.openxmlformats.org/drawingml/2006/picture">
                <pic:pic>
                  <pic:nvPicPr>
                    <pic:cNvPr descr="РУССКИЙ" id="0" name="image1.png"/>
                    <pic:cNvPicPr preferRelativeResize="0"/>
                  </pic:nvPicPr>
                  <pic:blipFill>
                    <a:blip r:embed="rId6"/>
                    <a:srcRect b="0" l="0" r="0" t="0"/>
                    <a:stretch>
                      <a:fillRect/>
                    </a:stretch>
                  </pic:blipFill>
                  <pic:spPr>
                    <a:xfrm>
                      <a:off x="0" y="0"/>
                      <a:ext cx="1467485" cy="1174750"/>
                    </a:xfrm>
                    <a:prstGeom prst="rect"/>
                    <a:ln/>
                  </pic:spPr>
                </pic:pic>
              </a:graphicData>
            </a:graphic>
          </wp:anchor>
        </w:drawing>
      </w:r>
    </w:p>
    <w:p w:rsidR="00000000" w:rsidDel="00000000" w:rsidP="00000000" w:rsidRDefault="00000000" w:rsidRPr="00000000" w14:paraId="00000002">
      <w:pPr>
        <w:pStyle w:val="Heading1"/>
        <w:jc w:val="both"/>
        <w:rPr>
          <w:rFonts w:ascii="Tahoma" w:cs="Tahoma" w:eastAsia="Tahoma" w:hAnsi="Tahoma"/>
          <w:color w:val="333399"/>
          <w:sz w:val="28"/>
          <w:szCs w:val="28"/>
        </w:rPr>
      </w:pPr>
      <w:r w:rsidDel="00000000" w:rsidR="00000000" w:rsidRPr="00000000">
        <w:rPr>
          <w:rFonts w:ascii="Tahoma" w:cs="Tahoma" w:eastAsia="Tahoma" w:hAnsi="Tahoma"/>
          <w:color w:val="333399"/>
          <w:sz w:val="28"/>
          <w:szCs w:val="28"/>
          <w:rtl w:val="0"/>
        </w:rPr>
        <w:t xml:space="preserve">ИНВЕСТИЦИОННАЯ ХОЛДИНГОВАЯ КОМПАНИЯ «МИР»</w:t>
      </w:r>
      <w:r w:rsidDel="00000000" w:rsidR="00000000" w:rsidRPr="00000000">
        <w:rPr>
          <w:rFonts w:ascii="Tahoma" w:cs="Tahoma" w:eastAsia="Tahoma" w:hAnsi="Tahoma"/>
          <w:color w:val="4472c4"/>
          <w:sz w:val="28"/>
          <w:szCs w:val="28"/>
          <w:rtl w:val="0"/>
        </w:rPr>
        <w:t xml:space="preserve"> </w:t>
      </w:r>
      <w:r w:rsidDel="00000000" w:rsidR="00000000" w:rsidRPr="00000000">
        <w:rPr>
          <w:rtl w:val="0"/>
        </w:rPr>
      </w:r>
    </w:p>
    <w:p w:rsidR="00000000" w:rsidDel="00000000" w:rsidP="00000000" w:rsidRDefault="00000000" w:rsidRPr="00000000" w14:paraId="00000003">
      <w:pPr>
        <w:rPr>
          <w:rFonts w:ascii="Tahoma" w:cs="Tahoma" w:eastAsia="Tahoma" w:hAnsi="Tahoma"/>
          <w:color w:val="44546a"/>
        </w:rPr>
      </w:pPr>
      <w:r w:rsidDel="00000000" w:rsidR="00000000" w:rsidRPr="00000000">
        <w:rPr>
          <w:rFonts w:ascii="Tahoma" w:cs="Tahoma" w:eastAsia="Tahoma" w:hAnsi="Tahoma"/>
          <w:color w:val="44546a"/>
          <w:rtl w:val="0"/>
        </w:rPr>
        <w:t xml:space="preserve">  Joint stock company « Investment Holding Company «PAX»</w:t>
      </w:r>
    </w:p>
    <w:p w:rsidR="00000000" w:rsidDel="00000000" w:rsidP="00000000" w:rsidRDefault="00000000" w:rsidRPr="00000000" w14:paraId="00000004">
      <w:pPr>
        <w:rPr/>
      </w:pPr>
      <w:r w:rsidDel="00000000" w:rsidR="00000000" w:rsidRPr="00000000">
        <w:rPr>
          <w:rFonts w:ascii="Tahoma" w:cs="Tahoma" w:eastAsia="Tahoma" w:hAnsi="Tahoma"/>
          <w:color w:val="4472c4"/>
          <w:sz w:val="16"/>
          <w:szCs w:val="16"/>
          <w:rtl w:val="0"/>
        </w:rPr>
        <w:t xml:space="preserve">                                                                                                      ИНН 7704148648                                     </w:t>
      </w:r>
      <w:r w:rsidDel="00000000" w:rsidR="00000000" w:rsidRPr="00000000">
        <w:rPr>
          <w:rtl w:val="0"/>
        </w:rPr>
      </w:r>
    </w:p>
    <w:p w:rsidR="00000000" w:rsidDel="00000000" w:rsidP="00000000" w:rsidRDefault="00000000" w:rsidRPr="00000000" w14:paraId="00000005">
      <w:pPr>
        <w:jc w:val="center"/>
        <w:rPr>
          <w:i w:val="1"/>
          <w:color w:val="4f6228"/>
          <w:sz w:val="18"/>
          <w:szCs w:val="18"/>
        </w:rPr>
      </w:pPr>
      <w:r w:rsidDel="00000000" w:rsidR="00000000" w:rsidRPr="00000000">
        <w:rPr>
          <w:i w:val="1"/>
          <w:color w:val="4f6228"/>
          <w:sz w:val="18"/>
          <w:szCs w:val="18"/>
          <w:rtl w:val="0"/>
        </w:rPr>
        <w:t xml:space="preserve">Россия, 125057, г. Москва, Ленинградский  проспект 75, 416</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24.02.2022 г.</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righ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Соглашение между Правительством Союза Советских Социалистических Республик и Правительствами Королевства Бельгии и Великого Герцогства Люксембург о взаимном поощрении и взаимной защите капиталовложений.</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Ратифицировано </w:t>
        <w:br w:type="textWrapping"/>
      </w:r>
      <w:hyperlink r:id="rId7">
        <w:r w:rsidDel="00000000" w:rsidR="00000000" w:rsidRPr="00000000">
          <w:rPr>
            <w:rFonts w:ascii="Times New Roman" w:cs="Times New Roman" w:eastAsia="Times New Roman" w:hAnsi="Times New Roman"/>
            <w:b w:val="0"/>
            <w:i w:val="0"/>
            <w:smallCaps w:val="0"/>
            <w:strike w:val="0"/>
            <w:color w:val="0000ff"/>
            <w:sz w:val="28"/>
            <w:szCs w:val="28"/>
            <w:u w:val="single"/>
            <w:shd w:fill="auto" w:val="clear"/>
            <w:vertAlign w:val="baseline"/>
            <w:rtl w:val="0"/>
          </w:rPr>
          <w:t xml:space="preserve">постановлением Верховного Совета СССР</w:t>
          <w:br w:type="textWrapping"/>
          <w:t xml:space="preserve">от 29 мая 1991 года N 2200-1</w:t>
        </w:r>
      </w:hyperlink>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Желая создать благоприятные условия для осуществления капиталовложений инвесторами одной Договаривающейся Стороны на территории другой Договаривающейся Стороны,</w:t>
        <w:br w:type="textWrapping"/>
        <w:t xml:space="preserve">согласились о нижеследующем:</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Любое физическое лицо, которое согласно советскому, бельгийскому или люксембургскому законодательству считается гражданином Союза Советских Социалистических Республик, Королевства Бельгии или Великого Герцогства Люксембург соответственно и которое в соответствии с законодательством своей страны может осуществлять капиталовложения на территории другой Договаривающейся Стороны;</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любое юридическое лицо, образованное в соответствии с советским, бельгийским или люксембургским законодательством и имеющее свое местонахождение на территории Союза Советских Социалистических Республик, Королевства Бельгии или Великого Герцогства Люксембург соответственно, которое в соответствии с законодательством своей страны может осуществлять капиталовложения на территории другой Договаривающейся Стороны.</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Термин "капиталовложения" означает все виды имущественных ценностей, которое инвесторы одной Договаривающейся Стороны вкладывают на территории другой Договаривающейся Стороны в соответствии с ее законодательством, и в частности:</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имущество (здания, сооружения, оборудование и другие материальные ценности);</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денежные средства, а также акции и другие формы участия и относящиеся к ним права требования;</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права требования, относящиеся к любым услугам, имеющим экономическую ценность;права на интеллектуальную собственность, в частности, патенты, товарные знаки и знаки обслуживания, наименования мест происхождения, фирменные наименования, промышленные образцы, авторские права, а также технологии и "ноу-хау".</w:t>
        <w:br w:type="textWrapping"/>
        <w:br w:type="textWrapping"/>
        <w:t xml:space="preserve">Термин "капиталовложения" означает также косвенные капиталовложения, осуществленные инвесторами одной из Договаривающихся Сторон на территории другой Договаривающейся Стороны при посредстве инвестора третьего государства..</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Настоящее Соглашение распространяется на территорию каждой из Договаривающихся Сторон, а также на экономическую зону и континентальный шельф, которые простираются за пределы территориальных вод каждой из соответствующих Договаривающихся Сторон и над которыми они осуществляют в соответствии с международным правом свои суверенные права и юрисдикцию в целях разведки, разработки и сохранения природных ресурсов.</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Каждая из Договаривающихся Сторон обязуется обеспечить на своей территории для капиталовложений, осуществленных инвесторами другой Договаривающейся Стороны, справедливый и равноправный режим, исключающий любые неоправданные или дискриминационные меры, которые могли бы помешать управлению капиталовложениями, их содержанию, пользованию ими или их лик</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видации.</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Капиталовложения, осуществленные инвесторами одной Договаривающейся Стороны на территории другой Договаривающейся Стороны не могут быть экспроприированы, национализированы или подвергнуты каким-либо другим мерам, имеющим аналогичные последствия, за исключением случаев, когда такие меры принимаются исходя из общественных интересов в соответствии с установленным законодательством порядком и не являются дискриминационными.</w:t>
        <w:br w:type="textWrapping"/>
        <w:t xml:space="preserve">Каждая из Договаривающихся Сторон гарантирует инвесторам другой Договаривающейся Стороны беспрепятственный перевод их денежных средств в свободно конвертируемой валюте в связи с капиталовложениями, а именно:сумм первоначального капиталовложения и дополнительных сумм для поддержания или увеличения капиталовложения;</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доходов от капиталовложения;</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Настоящее Соглашение будет применяться ко всем капиталовложениям, осуществленным на территории одной из Договаривающихся Сторон инвесторами другой Договаривающейся Стороны, начиная с 1 января 1964 года.</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Настоящее Соглашение будет действовать в течение пятнадцати лет.      Если ни одна из Договаривающихся Сторон не заявит в письменной форме о денонсации настоящего Соглашения по меньшей мере за двадцать месяцев до истечения срока его действия, настоящее Соглашение автоматически продлевается до тех пор, пока одна из Договаривающихся Сторон письменно не уведомит другую Договаривающуюся Сторону о своем желании прекратить действие настоящего Соглашения. Уведомление вступает в силу через двенадцать месяцев с даты его получения другой Договаривающейся Стороной.</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Капиталовложения, осуществленные до истечения срока действия настоящего Соглашения, регулируются им в течение пятнадцати лет, начиная с даты истечения срока его действия.</w:t>
        <w:br w:type="textWrapping"/>
        <w:br w:type="textWrapping"/>
        <w:t xml:space="preserve">В удостоверение чего нижеподписавшиеся представители, должным образом на то уполномоченные, подписали настоящее Соглашение.</w:t>
        <w:br w:type="textWrapping"/>
        <w:t xml:space="preserve">Совершено в Москве 9 февраля 1989 года в трех экземплярах, каждый на русском и французском языках, причем все тексты имеют одинаковую силу.</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 рамках данного Соглашения ратифицированного ВС СССР 29 мая 1991 году с 1964 года накопленные активы СССР прошли капитализацию в Брюсселе и Люксембурге, и в качестве финансовых инструментов под кодами ISIN находятся в международном финансово хозяйственный обороте без участия ЦБ России, и налоговых органов под контролем западных банкиров (список банков и коды ISIN прилагаются) и управляются уполномоченными «смотрящими РФ».</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Доходом владеет, распоряжается международная «Мафия».</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 2020 году 1 апреля в день шутника появился закон «О поощрении капиталовложений в РФ» и  премьер («пошутил») обещает народу привлекать инвестиции в реальный сектор экономики РФ. </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40"/>
          <w:szCs w:val="40"/>
          <w:u w:val="none"/>
          <w:shd w:fill="auto" w:val="clear"/>
          <w:vertAlign w:val="baseline"/>
          <w:rtl w:val="0"/>
        </w:rPr>
        <w:t xml:space="preserve">Требование</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Сумма капиталовложений активов СССР и РФ не прошедшая капитализацию в ЦБ России и не поставленная на баланс и на налоговый учет с 1964 года и финансовые активы, находящиеся  в банках и финансовых институтах Брюсселя и Люксембурга истребовать.</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Ущерб составил более 2 квадриллионов долларов США.</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Упущенную выгоду исчислять с применением повышающего коэффициента, учитывая людские потери, за весь исторический период, начиная с мая 1905 года.</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bookmarkStart w:colFirst="0" w:colLast="0" w:name="_gjdgxs" w:id="0"/>
      <w:bookmarkEnd w:id="0"/>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Президент АО ИХК «МИР»                                    В.М.Кузнецов</w:t>
      </w:r>
    </w:p>
    <w:sectPr>
      <w:pgSz w:h="16838" w:w="11906" w:orient="portrait"/>
      <w:pgMar w:bottom="1134" w:top="1134" w:left="1701"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ourier New"/>
  <w:font w:name="Times New Roman"/>
  <w:font w:name="Georgia"/>
  <w:font w:name="Tahom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ourier New" w:cs="Courier New" w:eastAsia="Courier New" w:hAnsi="Courier New"/>
        <w:sz w:val="24"/>
        <w:szCs w:val="24"/>
        <w:lang w:val="ru-RU"/>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Times New Roman" w:cs="Times New Roman" w:eastAsia="Times New Roman" w:hAnsi="Times New Roman"/>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Times New Roman" w:cs="Times New Roman" w:eastAsia="Times New Roman" w:hAnsi="Times New Roman"/>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ourier New" w:cs="Courier New" w:eastAsia="Courier New" w:hAnsi="Courier New"/>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ourier New" w:cs="Courier New" w:eastAsia="Courier New" w:hAnsi="Courier New"/>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ourier New" w:cs="Courier New" w:eastAsia="Courier New" w:hAnsi="Courier New"/>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ourier New" w:cs="Courier New" w:eastAsia="Courier New" w:hAnsi="Courier New"/>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ourier New" w:cs="Courier New" w:eastAsia="Courier New" w:hAnsi="Courier New"/>
      <w:b w:val="1"/>
      <w:i w:val="0"/>
      <w:smallCaps w:val="0"/>
      <w:strike w:val="0"/>
      <w:color w:val="000000"/>
      <w:sz w:val="72"/>
      <w:szCs w:val="72"/>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docs.cntd.ru/document/90096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